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clear" w:color="auto" w:fill="ffffff"/>
        <w:spacing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</w:t>
      </w:r>
      <w:r>
        <w:rPr>
          <w:b/>
          <w:sz w:val="28"/>
          <w:szCs w:val="28"/>
        </w:rPr>
        <w:t xml:space="preserve"> о работе с обращениями граждан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Исполнительном комитете</w:t>
      </w:r>
      <w:r>
        <w:rPr>
          <w:b/>
          <w:sz w:val="28"/>
          <w:szCs w:val="28"/>
        </w:rPr>
        <w:t xml:space="preserve"> Сабинского муниципального </w:t>
      </w:r>
      <w:r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 второе полугодие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4 год</w:t>
      </w:r>
      <w:r>
        <w:rPr>
          <w:b/>
          <w:sz w:val="28"/>
          <w:szCs w:val="28"/>
        </w:rPr>
        <w:t xml:space="preserve">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 обращениями граждан является одной из основных направлений работы </w:t>
      </w:r>
      <w:r>
        <w:rPr>
          <w:sz w:val="24"/>
          <w:szCs w:val="24"/>
        </w:rPr>
        <w:t xml:space="preserve">Исполнительного комитета</w:t>
      </w:r>
      <w:r>
        <w:rPr>
          <w:sz w:val="24"/>
          <w:szCs w:val="24"/>
        </w:rPr>
        <w:t xml:space="preserve"> Сабинского муниципального района</w:t>
      </w:r>
      <w:r>
        <w:rPr>
          <w:sz w:val="24"/>
          <w:szCs w:val="24"/>
        </w:rPr>
        <w:t xml:space="preserve"> и ведется строго на основании требований законодательства Российской Федерации и Республики Татарстан. </w:t>
      </w:r>
      <w:r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 xml:space="preserve">Руководителя Исполнительного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района</w:t>
      </w:r>
      <w:r>
        <w:rPr>
          <w:sz w:val="24"/>
          <w:szCs w:val="24"/>
        </w:rPr>
        <w:t xml:space="preserve"> утверждён Порядок рассмотрения обращений граждан и личного приема должностными лицами и размещен на официальном сайте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Особое внимание уделяется своевременной регистрации всех видов обращений, оперативному и качественному их рассмотрению. Руководител</w:t>
      </w:r>
      <w:r>
        <w:rPr>
          <w:sz w:val="24"/>
          <w:szCs w:val="24"/>
        </w:rPr>
        <w:t xml:space="preserve">и и сотрудники всех уровней ознакомлены с основными положениями законодательства, и предупреждены о личной ответственности должностных лиц за рассмотрение обращений с нарушением срока и за полноту, своевременность разрешения проблем, поднятых в обращениях.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Широко используются возможности электронного документооборота, что позволяет повышению пунктуальности, ответственности и оперативному принятию решений.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Основной блок вопросов ежегодно касается вопросов жилищно-коммунальной </w:t>
      </w:r>
      <w:r>
        <w:rPr>
          <w:sz w:val="24"/>
          <w:szCs w:val="24"/>
        </w:rPr>
        <w:t xml:space="preserve">и  социальной</w:t>
      </w:r>
      <w:r>
        <w:rPr>
          <w:sz w:val="24"/>
          <w:szCs w:val="24"/>
        </w:rPr>
        <w:t xml:space="preserve"> сферы, затронуты  вопросы капитального ремонта жилых домов, в том числе вопросы постановки на учет в качестве нуждающихся</w:t>
      </w:r>
      <w:r>
        <w:rPr>
          <w:sz w:val="24"/>
          <w:szCs w:val="24"/>
        </w:rPr>
        <w:t xml:space="preserve"> в улучшении жилищных условий, обеспечения жильем молодых семей, молодых специалистов; участия в различных государственных программах обеспечения жильем, проблемы коммунально-бытового обслуживания, социальной защиты населения, качества строительства и т.д.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Важным направлением деятельности является личный прием руководителем.  Еженедельно каждый вторник определен днем приема граждан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второе полугодие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4 года в адрес </w:t>
      </w:r>
      <w:r>
        <w:rPr>
          <w:sz w:val="24"/>
          <w:szCs w:val="24"/>
        </w:rPr>
        <w:t xml:space="preserve">Руководителя Исполнительного комитета </w:t>
      </w:r>
      <w:r>
        <w:rPr>
          <w:sz w:val="24"/>
          <w:szCs w:val="24"/>
        </w:rPr>
        <w:t xml:space="preserve">Сабинского муниципального района поступило всего 404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обращений</w:t>
      </w:r>
      <w:r>
        <w:rPr>
          <w:sz w:val="24"/>
          <w:szCs w:val="24"/>
        </w:rPr>
        <w:t xml:space="preserve">, на</w:t>
      </w:r>
      <w:r>
        <w:rPr>
          <w:sz w:val="24"/>
          <w:szCs w:val="24"/>
        </w:rPr>
        <w:t xml:space="preserve"> личном приеме </w:t>
      </w:r>
      <w:r>
        <w:rPr>
          <w:sz w:val="24"/>
          <w:szCs w:val="24"/>
        </w:rPr>
        <w:t xml:space="preserve">Руководителя Исполнительного комитета Сабинского </w:t>
      </w:r>
      <w:r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  <w:t xml:space="preserve">принят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11</w:t>
      </w:r>
      <w:r>
        <w:rPr>
          <w:sz w:val="24"/>
          <w:szCs w:val="24"/>
        </w:rPr>
        <w:t xml:space="preserve"> обращений</w:t>
      </w:r>
      <w:r>
        <w:rPr>
          <w:sz w:val="24"/>
          <w:szCs w:val="24"/>
        </w:rPr>
        <w:t xml:space="preserve"> жител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Borders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4523"/>
        <w:gridCol w:w="3402"/>
      </w:tblGrid>
      <w:tr>
        <w:trPr>
          <w:jc w:val="center"/>
          <w:trHeight w:val="29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 w:left="46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shd w:val="clear" w:color="auto" w:fill="ffffff"/>
              </w:rPr>
              <w:t xml:space="preserve">№</w:t>
            </w:r>
            <w:r>
              <w:rPr>
                <w:rFonts w:eastAsia="Arial Unicode MS"/>
                <w:sz w:val="24"/>
                <w:szCs w:val="24"/>
              </w:rPr>
            </w:r>
            <w:r>
              <w:rPr>
                <w:rFonts w:eastAsia="Arial Unicode M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  <w:t xml:space="preserve">Наименование сведений</w:t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 w:line="278" w:lineRule="exact"/>
              <w:ind w:right="160"/>
              <w:jc w:val="center"/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  <w:shd w:val="clear" w:color="auto" w:fill="ffffff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 w:left="1320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/>
              <w:ind w:left="1320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</w:rPr>
              <w:t xml:space="preserve">Всего обращений</w:t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rFonts w:eastAsia="Arial Unicode MS"/>
                <w:b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pacing w:val="10"/>
                <w:sz w:val="24"/>
                <w:szCs w:val="24"/>
              </w:rPr>
              <w:t xml:space="preserve">404</w:t>
            </w:r>
            <w:r>
              <w:rPr>
                <w:rFonts w:eastAsia="Arial Unicode MS"/>
                <w:b/>
                <w:bCs/>
                <w:spacing w:val="10"/>
                <w:sz w:val="24"/>
                <w:szCs w:val="24"/>
              </w:rPr>
            </w:r>
            <w:r>
              <w:rPr>
                <w:rFonts w:eastAsia="Arial Unicode MS"/>
                <w:b/>
                <w:bCs/>
                <w:spacing w:val="10"/>
                <w:sz w:val="24"/>
                <w:szCs w:val="24"/>
              </w:rPr>
            </w:r>
          </w:p>
        </w:tc>
      </w:tr>
      <w:tr>
        <w:trPr>
          <w:jc w:val="center"/>
          <w:trHeight w:val="19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Из них: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</w:r>
          </w:p>
        </w:tc>
      </w:tr>
      <w:tr>
        <w:trPr>
          <w:jc w:val="center"/>
          <w:trHeight w:val="33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 w:left="460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1.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Личный прием ( в т.ч через Главу р-на)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lang w:val="tt-RU"/>
              </w:rPr>
              <w:t xml:space="preserve">11</w:t>
            </w:r>
            <w:r>
              <w:rPr>
                <w:rFonts w:eastAsia="Arial Unicode MS"/>
                <w:bCs/>
                <w:spacing w:val="10"/>
                <w:sz w:val="24"/>
                <w:szCs w:val="24"/>
                <w:lang w:val="tt-RU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</w:tr>
      <w:tr>
        <w:trPr>
          <w:trHeight w:val="10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Merge w:val="restart"/>
            <w:textDirection w:val="lrTb"/>
            <w:noWrap w:val="false"/>
          </w:tcPr>
          <w:p>
            <w:pPr>
              <w:pBdr/>
              <w:spacing/>
              <w:ind w:left="300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1.1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3" w:type="dxa"/>
            <w:vMerge w:val="restart"/>
            <w:textDirection w:val="lrTb"/>
            <w:noWrap w:val="false"/>
          </w:tcPr>
          <w:p>
            <w:pPr>
              <w:pBdr/>
              <w:spacing w:line="254" w:lineRule="exact"/>
              <w:ind/>
              <w:jc w:val="center"/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Письменное (почта,  на руки, курьер, фельдсвязь)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lang w:val="tt-RU"/>
              </w:rPr>
              <w:t xml:space="preserve">91</w:t>
            </w:r>
            <w:r>
              <w:rPr>
                <w:rFonts w:eastAsia="Arial Unicode MS"/>
                <w:bCs/>
                <w:spacing w:val="10"/>
                <w:sz w:val="24"/>
                <w:szCs w:val="24"/>
                <w:lang w:val="tt-RU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</w:tr>
      <w:tr>
        <w:trPr>
          <w:jc w:val="center"/>
          <w:trHeight w:val="108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 w:left="300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</w:rPr>
              <w:t xml:space="preserve">1.2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23" w:type="dxa"/>
            <w:textDirection w:val="lrTb"/>
            <w:noWrap w:val="false"/>
          </w:tcPr>
          <w:p>
            <w:pPr>
              <w:pBdr/>
              <w:spacing w:line="254" w:lineRule="exact"/>
              <w:ind/>
              <w:jc w:val="center"/>
              <w:rPr>
                <w:rFonts w:eastAsia="Arial Unicode MS"/>
                <w:spacing w:val="10"/>
                <w:sz w:val="24"/>
                <w:szCs w:val="24"/>
              </w:rPr>
            </w:pP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Электронных обращений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(Электронная почта, интернет-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приемная, электронный документ,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Arial Unicode MS"/>
                <w:spacing w:val="10"/>
                <w:sz w:val="24"/>
                <w:szCs w:val="24"/>
                <w:shd w:val="clear" w:color="auto" w:fill="ffffff"/>
              </w:rPr>
              <w:t xml:space="preserve">МЭДО, ЕСИА)</w:t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  <w:r>
              <w:rPr>
                <w:rFonts w:eastAsia="Arial Unicode MS"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Bdr/>
              <w:spacing/>
              <w:ind w:left="360"/>
              <w:jc w:val="center"/>
              <w:rPr>
                <w:rFonts w:eastAsia="Arial Unicode MS"/>
                <w:bCs/>
                <w:spacing w:val="10"/>
                <w:sz w:val="24"/>
                <w:szCs w:val="24"/>
              </w:rPr>
            </w:pPr>
            <w:r>
              <w:rPr>
                <w:rFonts w:eastAsia="Arial Unicode MS"/>
                <w:bCs/>
                <w:spacing w:val="10"/>
                <w:sz w:val="24"/>
                <w:szCs w:val="24"/>
                <w:lang w:val="tt-RU"/>
              </w:rPr>
              <w:t xml:space="preserve">302</w:t>
            </w:r>
            <w:r>
              <w:rPr>
                <w:rFonts w:eastAsia="Arial Unicode MS"/>
                <w:bCs/>
                <w:spacing w:val="10"/>
                <w:sz w:val="24"/>
                <w:szCs w:val="24"/>
                <w:lang w:val="tt-RU"/>
              </w:rPr>
            </w:r>
            <w:r>
              <w:rPr>
                <w:rFonts w:eastAsia="Arial Unicode MS"/>
                <w:bCs/>
                <w:spacing w:val="10"/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каждым годом население активнее использует интернет ресурсы, социальные сети, электронную почту при обращении в различные государственные органы и органы местного самоуправления.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Для приема обращений граждан на официальном сайте района в сети интернет функционирует ящик электронной почты в </w:t>
      </w:r>
      <w:r>
        <w:rPr>
          <w:sz w:val="24"/>
          <w:szCs w:val="24"/>
        </w:rPr>
        <w:t xml:space="preserve">разделе  «</w:t>
      </w:r>
      <w:r>
        <w:rPr>
          <w:sz w:val="24"/>
          <w:szCs w:val="24"/>
        </w:rPr>
        <w:t xml:space="preserve">Обращения  граждан». «Обратная связь» обеспечивает возможность органам местного самоуправления судить о настроениях общества и дать возможность гражданам высказывать свое мнение о социально-значимых процессах и событиях.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первом </w:t>
      </w:r>
      <w:r>
        <w:rPr>
          <w:sz w:val="24"/>
          <w:szCs w:val="24"/>
        </w:rPr>
        <w:t xml:space="preserve">месте -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блок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жилищно-ко</w:t>
      </w:r>
      <w:r>
        <w:rPr>
          <w:sz w:val="24"/>
          <w:szCs w:val="24"/>
        </w:rPr>
        <w:t xml:space="preserve">ммунального хозяйства является  </w:t>
      </w:r>
      <w:r>
        <w:rPr>
          <w:sz w:val="24"/>
          <w:szCs w:val="24"/>
        </w:rPr>
        <w:t xml:space="preserve">актуальной, значительную его часть составляют обращения граждан, связанные с улучшением жилищных </w:t>
      </w:r>
      <w:r>
        <w:rPr>
          <w:sz w:val="24"/>
          <w:szCs w:val="24"/>
        </w:rPr>
        <w:t xml:space="preserve">условий  обращений</w:t>
      </w:r>
      <w:r>
        <w:rPr>
          <w:sz w:val="24"/>
          <w:szCs w:val="24"/>
        </w:rPr>
        <w:t xml:space="preserve">, благоустройства территорий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На втором месте</w:t>
      </w:r>
      <w:r>
        <w:rPr>
          <w:bCs/>
          <w:sz w:val="24"/>
          <w:szCs w:val="24"/>
        </w:rPr>
        <w:t xml:space="preserve"> «Социальная сфера» и «Экономика».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основном обращения</w:t>
      </w:r>
      <w:r>
        <w:rPr>
          <w:sz w:val="24"/>
          <w:szCs w:val="24"/>
        </w:rPr>
        <w:t xml:space="preserve"> касаются выделения ссуды, субсидий, участия в различных государственных </w:t>
      </w:r>
      <w:r>
        <w:rPr>
          <w:sz w:val="24"/>
          <w:szCs w:val="24"/>
        </w:rPr>
        <w:t xml:space="preserve">программах субсидирования ЛПХ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индивидуальных предпринимателей, открытие точек.</w:t>
      </w:r>
      <w:bookmarkStart w:id="0" w:name="_GoBack"/>
      <w:r>
        <w:rPr>
          <w:sz w:val="24"/>
          <w:szCs w:val="24"/>
        </w:rPr>
      </w:r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Преобладающим в блоке социальной сферы являются вопросы </w:t>
      </w:r>
      <w:r>
        <w:rPr>
          <w:sz w:val="24"/>
          <w:szCs w:val="24"/>
        </w:rPr>
        <w:t xml:space="preserve">оказания матер</w:t>
      </w:r>
      <w:r>
        <w:rPr>
          <w:sz w:val="24"/>
          <w:szCs w:val="24"/>
        </w:rPr>
        <w:t xml:space="preserve">иальной помощи, трудоустройства.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На третьем месте оборона, безопасность, политика и в основном вопросы мобилизации и помощь мобилизованным.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hd w:val="clear" w:color="ffffff" w:themeColor="background1" w:fill="ffffff" w:themeFill="background1"/>
        <w:spacing/>
        <w:ind w:firstLine="567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5187" w:type="pct"/>
        <w:tblBorders>
          <w:top w:val="single" w:color="auto" w:sz="2" w:space="0"/>
          <w:left w:val="single" w:color="auto" w:sz="6" w:space="0"/>
          <w:bottom w:val="single" w:color="auto" w:sz="6" w:space="0"/>
          <w:right w:val="single" w:color="auto" w:sz="2" w:space="0"/>
        </w:tblBorders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5162"/>
        <w:gridCol w:w="4961"/>
      </w:tblGrid>
      <w:tr>
        <w:trPr/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вопросов, в 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Жилищно-коммунальная сфера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72,00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322"/>
        </w:trPr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Социальная сфера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62,00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818"/>
        </w:trPr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Экономика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62,00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Оборона, безопасность, законность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59,00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Государство, общество, политика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46,00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0" w:type="dxa"/>
              <w:top w:w="60" w:type="dxa"/>
              <w:right w:w="60" w:type="dxa"/>
              <w:bottom w:w="60" w:type="dxa"/>
            </w:tcMar>
            <w:tcW w:w="51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49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Все </w:t>
      </w:r>
      <w:r>
        <w:rPr>
          <w:sz w:val="24"/>
          <w:szCs w:val="24"/>
        </w:rPr>
        <w:t xml:space="preserve">поступившие </w:t>
      </w:r>
      <w:r>
        <w:rPr>
          <w:sz w:val="24"/>
          <w:szCs w:val="24"/>
        </w:rPr>
        <w:t xml:space="preserve">обращения </w:t>
      </w:r>
      <w:r>
        <w:rPr>
          <w:sz w:val="24"/>
          <w:szCs w:val="24"/>
        </w:rPr>
        <w:t xml:space="preserve">граждан </w:t>
      </w:r>
      <w:r>
        <w:rPr>
          <w:sz w:val="24"/>
          <w:szCs w:val="24"/>
        </w:rPr>
        <w:t xml:space="preserve">рассмотрены согласно действующему законодательству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контролируется их исполнение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письменные обращения даются письменные ответы на языке обращения.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Bdr/>
        <w:spacing/>
        <w:ind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h="16838" w:orient="landscape" w:w="11906"/>
      <w:pgMar w:top="1134" w:right="850" w:bottom="1134" w:left="1418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basedOn w:val="832"/>
    <w:next w:val="832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basedOn w:val="832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basedOn w:val="833"/>
    <w:link w:val="682"/>
    <w:uiPriority w:val="99"/>
    <w:pPr>
      <w:pBdr/>
      <w:spacing/>
      <w:ind/>
    </w:pPr>
  </w:style>
  <w:style w:type="paragraph" w:styleId="684">
    <w:name w:val="Footer"/>
    <w:basedOn w:val="832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basedOn w:val="833"/>
    <w:link w:val="684"/>
    <w:uiPriority w:val="99"/>
    <w:pPr>
      <w:pBdr/>
      <w:spacing/>
      <w:ind/>
    </w:pPr>
  </w:style>
  <w:style w:type="paragraph" w:styleId="686">
    <w:name w:val="Caption"/>
    <w:basedOn w:val="832"/>
    <w:next w:val="83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basedOn w:val="8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basedOn w:val="8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basedOn w:val="8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basedOn w:val="8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83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basedOn w:val="832"/>
    <w:next w:val="83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basedOn w:val="832"/>
    <w:next w:val="832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basedOn w:val="832"/>
    <w:next w:val="832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basedOn w:val="832"/>
    <w:next w:val="832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basedOn w:val="832"/>
    <w:next w:val="832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basedOn w:val="832"/>
    <w:next w:val="832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basedOn w:val="832"/>
    <w:next w:val="832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basedOn w:val="832"/>
    <w:next w:val="832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832"/>
    <w:next w:val="832"/>
    <w:uiPriority w:val="99"/>
    <w:unhideWhenUsed/>
    <w:pPr>
      <w:pBdr/>
      <w:spacing w:after="0" w:afterAutospacing="0"/>
      <w:ind/>
    </w:pPr>
  </w:style>
  <w:style w:type="paragraph" w:styleId="832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table" w:styleId="8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>
    <w:name w:val="Balloon Text"/>
    <w:basedOn w:val="832"/>
    <w:link w:val="83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37</cp:revision>
  <dcterms:created xsi:type="dcterms:W3CDTF">2021-01-14T10:24:00Z</dcterms:created>
  <dcterms:modified xsi:type="dcterms:W3CDTF">2025-01-21T06:53:40Z</dcterms:modified>
</cp:coreProperties>
</file>